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65EAD6A3" w:rsidR="00E70660" w:rsidRDefault="00597B5C">
      <w:r>
        <w:rPr>
          <w:rFonts w:hint="eastAsia"/>
        </w:rPr>
        <w:t>「適切なケアマネジメント手法」</w:t>
      </w:r>
      <w:r w:rsidR="00A7124F">
        <w:rPr>
          <w:rFonts w:hint="eastAsia"/>
        </w:rPr>
        <w:t>誤嚥性肺炎世の予防の</w:t>
      </w:r>
      <w:r w:rsidR="00D421AF">
        <w:rPr>
          <w:rFonts w:hint="eastAsia"/>
        </w:rPr>
        <w:t>アマネジメント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374" w:type="dxa"/>
        <w:tblInd w:w="-289" w:type="dxa"/>
        <w:tblLook w:val="04A0" w:firstRow="1" w:lastRow="0" w:firstColumn="1" w:lastColumn="0" w:noHBand="0" w:noVBand="1"/>
      </w:tblPr>
      <w:tblGrid>
        <w:gridCol w:w="1286"/>
        <w:gridCol w:w="1257"/>
        <w:gridCol w:w="1145"/>
        <w:gridCol w:w="2913"/>
        <w:gridCol w:w="16"/>
        <w:gridCol w:w="4881"/>
        <w:gridCol w:w="3286"/>
        <w:gridCol w:w="3287"/>
        <w:gridCol w:w="3287"/>
        <w:gridCol w:w="16"/>
      </w:tblGrid>
      <w:tr w:rsidR="00A11F59" w:rsidRPr="009B3B8E" w14:paraId="6D3CC50A" w14:textId="73B9C35E" w:rsidTr="00392F7D">
        <w:trPr>
          <w:trHeight w:val="53"/>
        </w:trPr>
        <w:tc>
          <w:tcPr>
            <w:tcW w:w="6617" w:type="dxa"/>
            <w:gridSpan w:val="5"/>
            <w:shd w:val="clear" w:color="auto" w:fill="F2F2F2" w:themeFill="background1" w:themeFillShade="F2"/>
            <w:vAlign w:val="center"/>
          </w:tcPr>
          <w:p w14:paraId="2E04430F" w14:textId="711FF26A" w:rsidR="00A11F59" w:rsidRPr="00CE1E84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8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CE1E84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659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CE1E84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392F7D" w:rsidRPr="009B3B8E" w14:paraId="046D8C60" w14:textId="21DF3F25" w:rsidTr="00392F7D">
        <w:trPr>
          <w:gridAfter w:val="1"/>
          <w:wAfter w:w="16" w:type="dxa"/>
          <w:trHeight w:val="93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3A6B6E6F" w14:textId="461CA3D7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33AF9D52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5FFE4869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7E665BE0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E1E84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gridSpan w:val="2"/>
            <w:shd w:val="clear" w:color="auto" w:fill="F2F2F2" w:themeFill="background1" w:themeFillShade="F2"/>
            <w:vAlign w:val="center"/>
          </w:tcPr>
          <w:p w14:paraId="18086E87" w14:textId="77777777" w:rsidR="00392F7D" w:rsidRPr="00B92BA4" w:rsidRDefault="00392F7D" w:rsidP="00392F7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168501F8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5B956" w14:textId="77777777" w:rsidR="00392F7D" w:rsidRPr="00CF1FD8" w:rsidRDefault="00392F7D" w:rsidP="00392F7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F1FD8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3F13B9E3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 w:rsidRPr="00CF1FD8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</w:t>
            </w:r>
            <w:r w:rsidRPr="00CF1FD8"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  <w:t>）</w:t>
            </w:r>
          </w:p>
        </w:tc>
        <w:tc>
          <w:tcPr>
            <w:tcW w:w="32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7FD5F" w14:textId="77777777" w:rsidR="00392F7D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03DFDE63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7D597CA5" w14:textId="77777777" w:rsidR="00392F7D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方法</w:t>
            </w:r>
          </w:p>
          <w:p w14:paraId="0C8635ED" w14:textId="6D0FAF23" w:rsidR="00392F7D" w:rsidRPr="00CE1E84" w:rsidRDefault="00392F7D" w:rsidP="00392F7D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392F7D">
        <w:trPr>
          <w:gridAfter w:val="1"/>
          <w:wAfter w:w="16" w:type="dxa"/>
          <w:trHeight w:val="379"/>
        </w:trPr>
        <w:tc>
          <w:tcPr>
            <w:tcW w:w="1286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gridSpan w:val="2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7628B0" w:rsidRPr="009B3B8E" w14:paraId="4237F269" w14:textId="48942354" w:rsidTr="00392F7D">
        <w:trPr>
          <w:gridAfter w:val="1"/>
          <w:wAfter w:w="16" w:type="dxa"/>
          <w:trHeight w:val="642"/>
        </w:trPr>
        <w:tc>
          <w:tcPr>
            <w:tcW w:w="1286" w:type="dxa"/>
            <w:tcBorders>
              <w:top w:val="dashed" w:sz="4" w:space="0" w:color="auto"/>
            </w:tcBorders>
          </w:tcPr>
          <w:p w14:paraId="462728CB" w14:textId="0EE186E4" w:rsidR="00080691" w:rsidRPr="00080691" w:rsidRDefault="00D57123" w:rsidP="007628B0">
            <w:pPr>
              <w:rPr>
                <w:sz w:val="16"/>
                <w:szCs w:val="16"/>
              </w:rPr>
            </w:pPr>
            <w:bookmarkStart w:id="0" w:name="_Hlk170684768"/>
            <w:r>
              <w:t>0 誤嚥性肺 炎の予防 の必要性 の理解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2B13601A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top w:val="dashed" w:sz="4" w:space="0" w:color="auto"/>
            </w:tcBorders>
          </w:tcPr>
          <w:p w14:paraId="30D3573E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12039981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7628B0" w:rsidRPr="009B3B8E" w14:paraId="332933B0" w14:textId="31D3B796" w:rsidTr="00392F7D">
        <w:trPr>
          <w:gridAfter w:val="1"/>
          <w:wAfter w:w="16" w:type="dxa"/>
          <w:trHeight w:val="3008"/>
        </w:trPr>
        <w:tc>
          <w:tcPr>
            <w:tcW w:w="1286" w:type="dxa"/>
            <w:tcBorders>
              <w:bottom w:val="single" w:sz="4" w:space="0" w:color="auto"/>
            </w:tcBorders>
          </w:tcPr>
          <w:p w14:paraId="6DA0ACDB" w14:textId="23A6237E" w:rsidR="007628B0" w:rsidRPr="00676363" w:rsidRDefault="007628B0" w:rsidP="007628B0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 w:rsidRPr="00676363">
              <w:rPr>
                <w:sz w:val="18"/>
                <w:szCs w:val="20"/>
              </w:rPr>
              <w:t>1 本人及び 家族・支援 者の認識 の理解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8143E7A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4BAD9DF8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14:paraId="5E921027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bottom w:val="single" w:sz="4" w:space="0" w:color="auto"/>
            </w:tcBorders>
          </w:tcPr>
          <w:p w14:paraId="248298F0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14:paraId="4131F0D3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33F0ACFD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2236B183" w14:textId="77777777" w:rsidR="007628B0" w:rsidRPr="009B3B8E" w:rsidRDefault="007628B0" w:rsidP="007628B0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bookmarkEnd w:id="0"/>
      <w:tr w:rsidR="00871FA8" w:rsidRPr="009B3B8E" w14:paraId="7D7E1290" w14:textId="77777777" w:rsidTr="00392F7D">
        <w:trPr>
          <w:gridAfter w:val="1"/>
          <w:wAfter w:w="16" w:type="dxa"/>
          <w:trHeight w:val="2258"/>
        </w:trPr>
        <w:tc>
          <w:tcPr>
            <w:tcW w:w="1286" w:type="dxa"/>
            <w:tcBorders>
              <w:top w:val="single" w:sz="4" w:space="0" w:color="auto"/>
            </w:tcBorders>
          </w:tcPr>
          <w:p w14:paraId="679ED198" w14:textId="7BA3E88E" w:rsidR="00871FA8" w:rsidRPr="00676363" w:rsidRDefault="00B27D79" w:rsidP="00871FA8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t xml:space="preserve">2 日常的な 発症及び 再発の予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2DB9BC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14:paraId="4DF3AF7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189EDBA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</w:tcBorders>
          </w:tcPr>
          <w:p w14:paraId="215D0F00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single" w:sz="4" w:space="0" w:color="auto"/>
            </w:tcBorders>
          </w:tcPr>
          <w:p w14:paraId="0A154679" w14:textId="118BC51E" w:rsidR="00A7124F" w:rsidRPr="009B3B8E" w:rsidRDefault="00A7124F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6D3D50C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14:paraId="645073F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871FA8" w:rsidRPr="009B3B8E" w14:paraId="00FCE084" w14:textId="2744B506" w:rsidTr="00392F7D">
        <w:trPr>
          <w:gridAfter w:val="1"/>
          <w:wAfter w:w="16" w:type="dxa"/>
          <w:trHeight w:val="2404"/>
        </w:trPr>
        <w:tc>
          <w:tcPr>
            <w:tcW w:w="1286" w:type="dxa"/>
          </w:tcPr>
          <w:p w14:paraId="6C6B894F" w14:textId="5F97F146" w:rsidR="00080691" w:rsidRPr="00676363" w:rsidRDefault="00B27D79" w:rsidP="00871FA8">
            <w:pPr>
              <w:rPr>
                <w:rFonts w:ascii="游ゴシック" w:eastAsia="游ゴシック" w:hAnsi="游ゴシック"/>
                <w:sz w:val="18"/>
                <w:szCs w:val="20"/>
              </w:rPr>
            </w:pPr>
            <w:r>
              <w:t>3 再評価</w:t>
            </w:r>
          </w:p>
        </w:tc>
        <w:tc>
          <w:tcPr>
            <w:tcW w:w="1257" w:type="dxa"/>
          </w:tcPr>
          <w:p w14:paraId="5D001083" w14:textId="73A83DC2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090C0C08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2A93903" w14:textId="644A6D46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</w:tr>
      <w:tr w:rsidR="007628B0" w:rsidRPr="009B3B8E" w14:paraId="53F0D023" w14:textId="77777777" w:rsidTr="00392F7D">
        <w:trPr>
          <w:gridAfter w:val="1"/>
          <w:wAfter w:w="16" w:type="dxa"/>
          <w:trHeight w:val="2132"/>
        </w:trPr>
        <w:tc>
          <w:tcPr>
            <w:tcW w:w="1286" w:type="dxa"/>
          </w:tcPr>
          <w:p w14:paraId="0A411B70" w14:textId="48EE246E" w:rsidR="00080691" w:rsidRPr="00676363" w:rsidRDefault="00B27D79" w:rsidP="00871FA8">
            <w:pPr>
              <w:rPr>
                <w:sz w:val="18"/>
                <w:szCs w:val="20"/>
              </w:rPr>
            </w:pPr>
            <w:r>
              <w:t>4 変化を把 握したとき の対応体</w:t>
            </w:r>
          </w:p>
        </w:tc>
        <w:tc>
          <w:tcPr>
            <w:tcW w:w="1257" w:type="dxa"/>
          </w:tcPr>
          <w:p w14:paraId="7EC63F19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166F90C1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5110FA87" w14:textId="77777777" w:rsidR="007628B0" w:rsidRPr="009B3B8E" w:rsidRDefault="007628B0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  <w:gridSpan w:val="2"/>
          </w:tcPr>
          <w:p w14:paraId="1367F2A6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15D48979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5AA9F28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4DA87DD9" w14:textId="77777777" w:rsidR="007628B0" w:rsidRPr="009B3B8E" w:rsidRDefault="007628B0" w:rsidP="00871F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676363" w:rsidRDefault="00266610"/>
    <w:sectPr w:rsidR="00266610" w:rsidRPr="00676363" w:rsidSect="00DE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01" w:right="1440" w:bottom="851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1433" w14:textId="77777777" w:rsidR="00DC16A1" w:rsidRDefault="00DC16A1" w:rsidP="00266610">
      <w:r>
        <w:separator/>
      </w:r>
    </w:p>
  </w:endnote>
  <w:endnote w:type="continuationSeparator" w:id="0">
    <w:p w14:paraId="3ADAE257" w14:textId="77777777" w:rsidR="00DC16A1" w:rsidRDefault="00DC16A1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17B1" w14:textId="77777777" w:rsidR="003749C7" w:rsidRDefault="003749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5DEC" w14:textId="77777777" w:rsidR="003749C7" w:rsidRDefault="00374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6C3D" w14:textId="77777777" w:rsidR="00DC16A1" w:rsidRDefault="00DC16A1" w:rsidP="00266610">
      <w:r>
        <w:separator/>
      </w:r>
    </w:p>
  </w:footnote>
  <w:footnote w:type="continuationSeparator" w:id="0">
    <w:p w14:paraId="22ABEAF9" w14:textId="77777777" w:rsidR="00DC16A1" w:rsidRDefault="00DC16A1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6FB" w14:textId="77777777" w:rsidR="003749C7" w:rsidRDefault="003749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0DA73D30" w:rsidR="00597B5C" w:rsidRDefault="003749C7">
    <w:pPr>
      <w:pStyle w:val="a3"/>
    </w:pPr>
    <w:r>
      <w:rPr>
        <w:rFonts w:hint="eastAsia"/>
      </w:rPr>
      <w:t>課程Ⅰ　オンライン研修3日目</w:t>
    </w:r>
    <w:r w:rsidR="00262655">
      <w:rPr>
        <w:rFonts w:hint="eastAsia"/>
      </w:rPr>
      <w:t>【</w:t>
    </w:r>
    <w:r w:rsidR="00A7124F">
      <w:rPr>
        <w:rFonts w:hint="eastAsia"/>
      </w:rPr>
      <w:t>誤嚥性肺炎の予防の炎</w:t>
    </w:r>
    <w:r w:rsidR="007628B0" w:rsidRPr="007628B0">
      <w:rPr>
        <w:rFonts w:hint="eastAsia"/>
      </w:rPr>
      <w:t>ある方及び家族等を支えるケアマネジメント</w:t>
    </w:r>
    <w:r w:rsidR="00262655">
      <w:rPr>
        <w:rFonts w:hint="eastAsia"/>
      </w:rPr>
      <w:t>】演習シート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E66A" w14:textId="77777777" w:rsidR="003749C7" w:rsidRDefault="003749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110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45A11"/>
    <w:rsid w:val="00080691"/>
    <w:rsid w:val="0008461C"/>
    <w:rsid w:val="00094DAC"/>
    <w:rsid w:val="001069E4"/>
    <w:rsid w:val="001126A3"/>
    <w:rsid w:val="00125497"/>
    <w:rsid w:val="0015607A"/>
    <w:rsid w:val="001A25D0"/>
    <w:rsid w:val="001C02A6"/>
    <w:rsid w:val="001F0247"/>
    <w:rsid w:val="00225725"/>
    <w:rsid w:val="0024206B"/>
    <w:rsid w:val="00242F49"/>
    <w:rsid w:val="00262655"/>
    <w:rsid w:val="00266610"/>
    <w:rsid w:val="002825DF"/>
    <w:rsid w:val="00351E24"/>
    <w:rsid w:val="003749C7"/>
    <w:rsid w:val="00392F7D"/>
    <w:rsid w:val="003B223C"/>
    <w:rsid w:val="003C0C1D"/>
    <w:rsid w:val="003C2AA5"/>
    <w:rsid w:val="00427E27"/>
    <w:rsid w:val="00473EC7"/>
    <w:rsid w:val="00483D15"/>
    <w:rsid w:val="00492E0D"/>
    <w:rsid w:val="004E1770"/>
    <w:rsid w:val="004E485A"/>
    <w:rsid w:val="00556638"/>
    <w:rsid w:val="005733AF"/>
    <w:rsid w:val="00574DCB"/>
    <w:rsid w:val="005758FD"/>
    <w:rsid w:val="00591B77"/>
    <w:rsid w:val="00597B5C"/>
    <w:rsid w:val="005A06DC"/>
    <w:rsid w:val="005C48EC"/>
    <w:rsid w:val="00600925"/>
    <w:rsid w:val="006062CC"/>
    <w:rsid w:val="00613A14"/>
    <w:rsid w:val="0066166E"/>
    <w:rsid w:val="00676363"/>
    <w:rsid w:val="0074042A"/>
    <w:rsid w:val="00745D69"/>
    <w:rsid w:val="007628B0"/>
    <w:rsid w:val="007D1852"/>
    <w:rsid w:val="007E4FDD"/>
    <w:rsid w:val="00871FA8"/>
    <w:rsid w:val="00885C33"/>
    <w:rsid w:val="008E67FF"/>
    <w:rsid w:val="009058F2"/>
    <w:rsid w:val="0092043B"/>
    <w:rsid w:val="00955427"/>
    <w:rsid w:val="00956664"/>
    <w:rsid w:val="00980E53"/>
    <w:rsid w:val="009B3B8E"/>
    <w:rsid w:val="009D1A45"/>
    <w:rsid w:val="009F33CE"/>
    <w:rsid w:val="009F50AC"/>
    <w:rsid w:val="00A11F59"/>
    <w:rsid w:val="00A7124F"/>
    <w:rsid w:val="00A8079A"/>
    <w:rsid w:val="00AA110E"/>
    <w:rsid w:val="00AF1DCA"/>
    <w:rsid w:val="00B27D79"/>
    <w:rsid w:val="00B323BA"/>
    <w:rsid w:val="00B70850"/>
    <w:rsid w:val="00B764CC"/>
    <w:rsid w:val="00B844FB"/>
    <w:rsid w:val="00B92744"/>
    <w:rsid w:val="00BF3A9B"/>
    <w:rsid w:val="00BF6211"/>
    <w:rsid w:val="00C956E3"/>
    <w:rsid w:val="00CE1E84"/>
    <w:rsid w:val="00D40DCD"/>
    <w:rsid w:val="00D421AF"/>
    <w:rsid w:val="00D57123"/>
    <w:rsid w:val="00D67FCA"/>
    <w:rsid w:val="00D93838"/>
    <w:rsid w:val="00DC16A1"/>
    <w:rsid w:val="00DE382A"/>
    <w:rsid w:val="00DF09ED"/>
    <w:rsid w:val="00E22500"/>
    <w:rsid w:val="00E70660"/>
    <w:rsid w:val="00EC3777"/>
    <w:rsid w:val="00F10036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2F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2ED-69AC-40FD-9EA3-10422D6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3</cp:revision>
  <dcterms:created xsi:type="dcterms:W3CDTF">2024-07-02T06:19:00Z</dcterms:created>
  <dcterms:modified xsi:type="dcterms:W3CDTF">2025-05-17T07:43:00Z</dcterms:modified>
</cp:coreProperties>
</file>